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1CF" w14:textId="61708D7C" w:rsidR="00113E68" w:rsidRPr="001D146A" w:rsidRDefault="005A3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HMO fee structure </w:t>
      </w:r>
    </w:p>
    <w:p w14:paraId="3DEDF733" w14:textId="77777777" w:rsidR="001D146A" w:rsidRDefault="001D146A"/>
    <w:p w14:paraId="46782F53" w14:textId="6B4C34D3" w:rsidR="00C85C01" w:rsidRPr="00C85C01" w:rsidRDefault="00C85C01" w:rsidP="00C85C01">
      <w:pPr>
        <w:rPr>
          <w:rFonts w:ascii="Arial" w:hAnsi="Arial" w:cs="Arial"/>
        </w:rPr>
      </w:pPr>
      <w:r w:rsidRPr="00C85C01">
        <w:rPr>
          <w:rFonts w:ascii="Arial" w:hAnsi="Arial" w:cs="Arial"/>
        </w:rPr>
        <w:t>Table 1</w:t>
      </w:r>
      <w:r w:rsidR="004803DF">
        <w:rPr>
          <w:rFonts w:ascii="Arial" w:hAnsi="Arial" w:cs="Arial"/>
        </w:rPr>
        <w:t xml:space="preserve"> - HMO fees 2021/22</w:t>
      </w:r>
    </w:p>
    <w:p w14:paraId="0BBC5308" w14:textId="77777777" w:rsidR="00C85C01" w:rsidRDefault="00C85C01" w:rsidP="00C85C01">
      <w:pPr>
        <w:rPr>
          <w:rFonts w:ascii="Arial" w:hAnsi="Arial" w:cs="Arial"/>
        </w:rPr>
      </w:pPr>
    </w:p>
    <w:p w14:paraId="52C9FF25" w14:textId="0FD9A12D" w:rsidR="00C85C01" w:rsidRDefault="00C85C01" w:rsidP="00C85C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2 </w:t>
      </w:r>
      <w:r w:rsidR="004803DF">
        <w:rPr>
          <w:rFonts w:ascii="Arial" w:hAnsi="Arial" w:cs="Arial"/>
        </w:rPr>
        <w:t xml:space="preserve">– Summary of costs </w:t>
      </w:r>
      <w:r>
        <w:rPr>
          <w:rFonts w:ascii="Arial" w:hAnsi="Arial" w:cs="Arial"/>
        </w:rPr>
        <w:t>included within the licence fees.</w:t>
      </w:r>
    </w:p>
    <w:p w14:paraId="6AEE2291" w14:textId="77777777" w:rsidR="00C85C01" w:rsidRDefault="00C85C01" w:rsidP="00C85C01">
      <w:pPr>
        <w:rPr>
          <w:rFonts w:ascii="Arial" w:hAnsi="Arial" w:cs="Arial"/>
        </w:rPr>
      </w:pPr>
    </w:p>
    <w:p w14:paraId="4CB101D9" w14:textId="3822530E" w:rsidR="00C85C01" w:rsidRDefault="00C85C01" w:rsidP="00C85C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3 </w:t>
      </w:r>
      <w:r w:rsidR="004803DF">
        <w:rPr>
          <w:rFonts w:ascii="Arial" w:hAnsi="Arial" w:cs="Arial"/>
        </w:rPr>
        <w:t xml:space="preserve">– Summary of refund criteria </w:t>
      </w:r>
    </w:p>
    <w:p w14:paraId="2A4E12D9" w14:textId="77777777" w:rsidR="00C85C01" w:rsidRDefault="00C85C01" w:rsidP="00C85C01">
      <w:pPr>
        <w:rPr>
          <w:rFonts w:ascii="Arial" w:hAnsi="Arial" w:cs="Arial"/>
        </w:rPr>
      </w:pPr>
    </w:p>
    <w:p w14:paraId="44ADDB22" w14:textId="77777777" w:rsidR="00B63C2F" w:rsidRDefault="00B63C2F" w:rsidP="00C444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68"/>
        <w:gridCol w:w="1063"/>
        <w:gridCol w:w="2266"/>
        <w:gridCol w:w="1047"/>
        <w:gridCol w:w="1101"/>
        <w:gridCol w:w="1101"/>
      </w:tblGrid>
      <w:tr w:rsidR="00D833C2" w14:paraId="4E6DB06D" w14:textId="77777777" w:rsidTr="00E95261">
        <w:tc>
          <w:tcPr>
            <w:tcW w:w="5767" w:type="dxa"/>
            <w:gridSpan w:val="4"/>
            <w:shd w:val="clear" w:color="auto" w:fill="9CC2E5" w:themeFill="accent1" w:themeFillTint="99"/>
          </w:tcPr>
          <w:p w14:paraId="3A1EE65D" w14:textId="32B282E0" w:rsidR="00D833C2" w:rsidRDefault="00B95831" w:rsidP="00E952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Table 1  -  </w:t>
            </w:r>
            <w:r w:rsidR="00D833C2">
              <w:rPr>
                <w:rFonts w:ascii="Arial" w:hAnsi="Arial" w:cs="Arial"/>
                <w:b/>
              </w:rPr>
              <w:t>Fees  2021/22</w:t>
            </w:r>
          </w:p>
          <w:p w14:paraId="4E785E22" w14:textId="77777777" w:rsidR="00D833C2" w:rsidRPr="005E2743" w:rsidRDefault="00D833C2" w:rsidP="00E952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shd w:val="clear" w:color="auto" w:fill="9CC2E5" w:themeFill="accent1" w:themeFillTint="99"/>
          </w:tcPr>
          <w:p w14:paraId="7AC01F88" w14:textId="77777777" w:rsidR="00D833C2" w:rsidRDefault="00D833C2" w:rsidP="00E952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shd w:val="clear" w:color="auto" w:fill="9CC2E5" w:themeFill="accent1" w:themeFillTint="99"/>
          </w:tcPr>
          <w:p w14:paraId="378694CD" w14:textId="77777777" w:rsidR="00D833C2" w:rsidRDefault="00D833C2" w:rsidP="00E952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shd w:val="clear" w:color="auto" w:fill="9CC2E5" w:themeFill="accent1" w:themeFillTint="99"/>
          </w:tcPr>
          <w:p w14:paraId="410741A2" w14:textId="77777777" w:rsidR="00D833C2" w:rsidRDefault="00D833C2" w:rsidP="00E95261">
            <w:pPr>
              <w:rPr>
                <w:rFonts w:ascii="Arial" w:hAnsi="Arial" w:cs="Arial"/>
                <w:b/>
              </w:rPr>
            </w:pPr>
          </w:p>
        </w:tc>
      </w:tr>
      <w:tr w:rsidR="00D833C2" w14:paraId="69032701" w14:textId="77777777" w:rsidTr="00E95261">
        <w:tc>
          <w:tcPr>
            <w:tcW w:w="1170" w:type="dxa"/>
            <w:shd w:val="clear" w:color="auto" w:fill="auto"/>
          </w:tcPr>
          <w:p w14:paraId="611637DD" w14:textId="77777777" w:rsidR="00D833C2" w:rsidRPr="005E2743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743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1268" w:type="dxa"/>
            <w:shd w:val="clear" w:color="auto" w:fill="auto"/>
          </w:tcPr>
          <w:p w14:paraId="2C69F333" w14:textId="77777777" w:rsidR="00D833C2" w:rsidRPr="005E2743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743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1063" w:type="dxa"/>
            <w:shd w:val="clear" w:color="auto" w:fill="auto"/>
          </w:tcPr>
          <w:p w14:paraId="77A3C42A" w14:textId="77777777" w:rsidR="00D833C2" w:rsidRPr="005E2743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743">
              <w:rPr>
                <w:rFonts w:ascii="Arial" w:hAnsi="Arial" w:cs="Arial"/>
                <w:b/>
                <w:sz w:val="22"/>
                <w:szCs w:val="22"/>
              </w:rPr>
              <w:t>Licence length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E2743">
              <w:rPr>
                <w:rFonts w:ascii="Arial" w:hAnsi="Arial" w:cs="Arial"/>
                <w:b/>
                <w:sz w:val="22"/>
                <w:szCs w:val="22"/>
              </w:rPr>
              <w:t>years)</w:t>
            </w:r>
          </w:p>
        </w:tc>
        <w:tc>
          <w:tcPr>
            <w:tcW w:w="2266" w:type="dxa"/>
            <w:shd w:val="clear" w:color="auto" w:fill="auto"/>
          </w:tcPr>
          <w:p w14:paraId="60A97AE3" w14:textId="77777777" w:rsidR="00D833C2" w:rsidRPr="005E2743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74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047" w:type="dxa"/>
          </w:tcPr>
          <w:p w14:paraId="60DC4B93" w14:textId="77777777" w:rsidR="00D833C2" w:rsidRPr="005E2743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1</w:t>
            </w:r>
          </w:p>
        </w:tc>
        <w:tc>
          <w:tcPr>
            <w:tcW w:w="1101" w:type="dxa"/>
          </w:tcPr>
          <w:p w14:paraId="7E4C42EE" w14:textId="77777777" w:rsidR="00D833C2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2</w:t>
            </w:r>
          </w:p>
        </w:tc>
        <w:tc>
          <w:tcPr>
            <w:tcW w:w="1101" w:type="dxa"/>
          </w:tcPr>
          <w:p w14:paraId="4EB0A051" w14:textId="77777777" w:rsidR="00D833C2" w:rsidRDefault="00D833C2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</w:tr>
      <w:tr w:rsidR="00D833C2" w14:paraId="61823DE8" w14:textId="77777777" w:rsidTr="00E95261">
        <w:tc>
          <w:tcPr>
            <w:tcW w:w="1170" w:type="dxa"/>
          </w:tcPr>
          <w:p w14:paraId="38FC3A90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8" w:type="dxa"/>
          </w:tcPr>
          <w:p w14:paraId="3F5F810D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licence application </w:t>
            </w:r>
          </w:p>
        </w:tc>
        <w:tc>
          <w:tcPr>
            <w:tcW w:w="1063" w:type="dxa"/>
          </w:tcPr>
          <w:p w14:paraId="4DE6A84A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 xml:space="preserve">One </w:t>
            </w:r>
          </w:p>
        </w:tc>
        <w:tc>
          <w:tcPr>
            <w:tcW w:w="2266" w:type="dxa"/>
          </w:tcPr>
          <w:p w14:paraId="24D2ED2F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Higher charge for a NEW application where the HMO has been operating for more than 12 weeks.</w:t>
            </w:r>
          </w:p>
        </w:tc>
        <w:tc>
          <w:tcPr>
            <w:tcW w:w="1047" w:type="dxa"/>
          </w:tcPr>
          <w:p w14:paraId="4AE1F6CB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£277</w:t>
            </w:r>
          </w:p>
        </w:tc>
        <w:tc>
          <w:tcPr>
            <w:tcW w:w="1101" w:type="dxa"/>
          </w:tcPr>
          <w:p w14:paraId="59C5B7F7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£1,781</w:t>
            </w:r>
          </w:p>
        </w:tc>
        <w:tc>
          <w:tcPr>
            <w:tcW w:w="1101" w:type="dxa"/>
          </w:tcPr>
          <w:p w14:paraId="112F5FF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£2,058</w:t>
            </w:r>
          </w:p>
        </w:tc>
      </w:tr>
      <w:tr w:rsidR="00D833C2" w14:paraId="4A995708" w14:textId="77777777" w:rsidTr="00E95261">
        <w:tc>
          <w:tcPr>
            <w:tcW w:w="1170" w:type="dxa"/>
          </w:tcPr>
          <w:p w14:paraId="5C8DD4A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68" w:type="dxa"/>
          </w:tcPr>
          <w:p w14:paraId="48250A87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1063" w:type="dxa"/>
          </w:tcPr>
          <w:p w14:paraId="5011A56C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266" w:type="dxa"/>
          </w:tcPr>
          <w:p w14:paraId="50040BE8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Standard charge for a NEW application where the HMO has been operating for less than 12 weeks or a change of licence holder or where the landlord failed to renew.</w:t>
            </w:r>
          </w:p>
        </w:tc>
        <w:tc>
          <w:tcPr>
            <w:tcW w:w="1047" w:type="dxa"/>
          </w:tcPr>
          <w:p w14:paraId="46499DCB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£277</w:t>
            </w:r>
          </w:p>
        </w:tc>
        <w:tc>
          <w:tcPr>
            <w:tcW w:w="1101" w:type="dxa"/>
          </w:tcPr>
          <w:p w14:paraId="11375EC6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£280</w:t>
            </w:r>
          </w:p>
        </w:tc>
        <w:tc>
          <w:tcPr>
            <w:tcW w:w="1101" w:type="dxa"/>
          </w:tcPr>
          <w:p w14:paraId="143B863C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£557</w:t>
            </w:r>
          </w:p>
        </w:tc>
      </w:tr>
      <w:tr w:rsidR="00D833C2" w14:paraId="6F5661CB" w14:textId="77777777" w:rsidTr="00E95261">
        <w:tc>
          <w:tcPr>
            <w:tcW w:w="1170" w:type="dxa"/>
          </w:tcPr>
          <w:p w14:paraId="77ACA053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68" w:type="dxa"/>
          </w:tcPr>
          <w:p w14:paraId="348F88DD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  <w:tc>
          <w:tcPr>
            <w:tcW w:w="1063" w:type="dxa"/>
          </w:tcPr>
          <w:p w14:paraId="018251B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266" w:type="dxa"/>
          </w:tcPr>
          <w:p w14:paraId="7F869620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 xml:space="preserve">Standard charge for a renewal application. </w:t>
            </w:r>
          </w:p>
        </w:tc>
        <w:tc>
          <w:tcPr>
            <w:tcW w:w="1047" w:type="dxa"/>
          </w:tcPr>
          <w:p w14:paraId="693A3AF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£89</w:t>
            </w:r>
          </w:p>
        </w:tc>
        <w:tc>
          <w:tcPr>
            <w:tcW w:w="1101" w:type="dxa"/>
          </w:tcPr>
          <w:p w14:paraId="79F600E8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£177</w:t>
            </w:r>
          </w:p>
        </w:tc>
        <w:tc>
          <w:tcPr>
            <w:tcW w:w="1101" w:type="dxa"/>
          </w:tcPr>
          <w:p w14:paraId="6D8DADED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£266</w:t>
            </w:r>
          </w:p>
        </w:tc>
      </w:tr>
      <w:tr w:rsidR="00D833C2" w14:paraId="1E05618A" w14:textId="77777777" w:rsidTr="00E95261">
        <w:tc>
          <w:tcPr>
            <w:tcW w:w="1170" w:type="dxa"/>
          </w:tcPr>
          <w:p w14:paraId="5FF29CF5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68" w:type="dxa"/>
          </w:tcPr>
          <w:p w14:paraId="797C58B7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  <w:tc>
          <w:tcPr>
            <w:tcW w:w="1063" w:type="dxa"/>
          </w:tcPr>
          <w:p w14:paraId="32644C08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266" w:type="dxa"/>
          </w:tcPr>
          <w:p w14:paraId="4CC5A9F2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Higher charge for a renewal application where the property / licence holder is classed as non-compliant</w:t>
            </w:r>
          </w:p>
        </w:tc>
        <w:tc>
          <w:tcPr>
            <w:tcW w:w="1047" w:type="dxa"/>
          </w:tcPr>
          <w:p w14:paraId="561576FD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£89</w:t>
            </w:r>
          </w:p>
        </w:tc>
        <w:tc>
          <w:tcPr>
            <w:tcW w:w="1101" w:type="dxa"/>
          </w:tcPr>
          <w:p w14:paraId="1082AC18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£416</w:t>
            </w:r>
          </w:p>
        </w:tc>
        <w:tc>
          <w:tcPr>
            <w:tcW w:w="1101" w:type="dxa"/>
          </w:tcPr>
          <w:p w14:paraId="0010C294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£505</w:t>
            </w:r>
          </w:p>
        </w:tc>
      </w:tr>
      <w:tr w:rsidR="00D833C2" w14:paraId="0E32596B" w14:textId="77777777" w:rsidTr="00E95261">
        <w:tc>
          <w:tcPr>
            <w:tcW w:w="1170" w:type="dxa"/>
          </w:tcPr>
          <w:p w14:paraId="4F7BA055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68" w:type="dxa"/>
          </w:tcPr>
          <w:p w14:paraId="54C2C301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  <w:tc>
          <w:tcPr>
            <w:tcW w:w="1063" w:type="dxa"/>
          </w:tcPr>
          <w:p w14:paraId="4EBFED4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Two</w:t>
            </w:r>
          </w:p>
        </w:tc>
        <w:tc>
          <w:tcPr>
            <w:tcW w:w="2266" w:type="dxa"/>
          </w:tcPr>
          <w:p w14:paraId="33FFB16A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Charge for a two year renewal application</w:t>
            </w:r>
          </w:p>
        </w:tc>
        <w:tc>
          <w:tcPr>
            <w:tcW w:w="1047" w:type="dxa"/>
          </w:tcPr>
          <w:p w14:paraId="7345EE72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£89</w:t>
            </w:r>
          </w:p>
        </w:tc>
        <w:tc>
          <w:tcPr>
            <w:tcW w:w="1101" w:type="dxa"/>
          </w:tcPr>
          <w:p w14:paraId="5CD97B6E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£204</w:t>
            </w:r>
          </w:p>
        </w:tc>
        <w:tc>
          <w:tcPr>
            <w:tcW w:w="1101" w:type="dxa"/>
          </w:tcPr>
          <w:p w14:paraId="1E611A15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£293</w:t>
            </w:r>
          </w:p>
        </w:tc>
      </w:tr>
      <w:tr w:rsidR="00D833C2" w14:paraId="605E1328" w14:textId="77777777" w:rsidTr="00E95261">
        <w:tc>
          <w:tcPr>
            <w:tcW w:w="1170" w:type="dxa"/>
          </w:tcPr>
          <w:p w14:paraId="3C9D23C8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68" w:type="dxa"/>
          </w:tcPr>
          <w:p w14:paraId="73727530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  <w:tc>
          <w:tcPr>
            <w:tcW w:w="1063" w:type="dxa"/>
          </w:tcPr>
          <w:p w14:paraId="0906A1DC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Five</w:t>
            </w:r>
          </w:p>
        </w:tc>
        <w:tc>
          <w:tcPr>
            <w:tcW w:w="2266" w:type="dxa"/>
          </w:tcPr>
          <w:p w14:paraId="5E7C2C4B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5E2743">
              <w:rPr>
                <w:rFonts w:ascii="Arial" w:hAnsi="Arial" w:cs="Arial"/>
                <w:sz w:val="22"/>
                <w:szCs w:val="22"/>
              </w:rPr>
              <w:t>Charge for a five year renewal application</w:t>
            </w:r>
          </w:p>
        </w:tc>
        <w:tc>
          <w:tcPr>
            <w:tcW w:w="1047" w:type="dxa"/>
          </w:tcPr>
          <w:p w14:paraId="5CBC1C00" w14:textId="77777777" w:rsidR="00D833C2" w:rsidRPr="005E2743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£89</w:t>
            </w:r>
          </w:p>
        </w:tc>
        <w:tc>
          <w:tcPr>
            <w:tcW w:w="1101" w:type="dxa"/>
          </w:tcPr>
          <w:p w14:paraId="378B1546" w14:textId="77777777" w:rsidR="00D833C2" w:rsidRPr="00877B81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877B81">
              <w:rPr>
                <w:rFonts w:ascii="Arial" w:hAnsi="Arial" w:cs="Arial"/>
                <w:sz w:val="22"/>
                <w:szCs w:val="22"/>
              </w:rPr>
              <w:t>£324</w:t>
            </w:r>
          </w:p>
        </w:tc>
        <w:tc>
          <w:tcPr>
            <w:tcW w:w="1101" w:type="dxa"/>
          </w:tcPr>
          <w:p w14:paraId="6DBC0022" w14:textId="77777777" w:rsidR="00D833C2" w:rsidRPr="00877B81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877B81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</w:tr>
      <w:tr w:rsidR="00925B47" w14:paraId="7B9D85DE" w14:textId="77777777" w:rsidTr="00E95261">
        <w:tc>
          <w:tcPr>
            <w:tcW w:w="7915" w:type="dxa"/>
            <w:gridSpan w:val="6"/>
          </w:tcPr>
          <w:p w14:paraId="5C51CF80" w14:textId="4AD7CC5E" w:rsidR="00925B47" w:rsidRDefault="00925B47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blocks (shared units) where the licence holder is signed up to the </w:t>
            </w:r>
            <w:r w:rsidRPr="00925B47">
              <w:rPr>
                <w:rFonts w:ascii="Arial" w:hAnsi="Arial" w:cs="Arial"/>
                <w:sz w:val="22"/>
                <w:szCs w:val="22"/>
              </w:rPr>
              <w:t>National Code of Standards for Larger Developments for University Accommodation NOT managed or controlled by University Establishments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receive a five year licence. Participation in this Code includes an inspection and audit regime.</w:t>
            </w:r>
          </w:p>
          <w:p w14:paraId="09A7EE08" w14:textId="77777777" w:rsidR="00925B47" w:rsidRDefault="00925B47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application = charged as Category B</w:t>
            </w:r>
          </w:p>
          <w:p w14:paraId="10EF38DD" w14:textId="2174466C" w:rsidR="00925B47" w:rsidRDefault="00925B47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Renewal application = charged as Category F</w:t>
            </w:r>
          </w:p>
        </w:tc>
        <w:tc>
          <w:tcPr>
            <w:tcW w:w="1101" w:type="dxa"/>
          </w:tcPr>
          <w:p w14:paraId="15DD3444" w14:textId="77777777" w:rsidR="00925B47" w:rsidRDefault="00925B47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£557 or</w:t>
            </w:r>
          </w:p>
          <w:p w14:paraId="446541E3" w14:textId="1CF84DC6" w:rsidR="00925B47" w:rsidRDefault="00925B47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£413</w:t>
            </w:r>
          </w:p>
        </w:tc>
      </w:tr>
      <w:tr w:rsidR="00D833C2" w14:paraId="77D73A42" w14:textId="77777777" w:rsidTr="00E95261">
        <w:tc>
          <w:tcPr>
            <w:tcW w:w="7915" w:type="dxa"/>
            <w:gridSpan w:val="6"/>
          </w:tcPr>
          <w:p w14:paraId="1411DAA6" w14:textId="622ABF43" w:rsidR="00D833C2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application advice visit (payable before visit)</w:t>
            </w:r>
          </w:p>
          <w:p w14:paraId="0BFDC21D" w14:textId="77777777" w:rsidR="00D833C2" w:rsidRPr="00877B81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210C81AB" w14:textId="77777777" w:rsidR="00D833C2" w:rsidRPr="00877B81" w:rsidRDefault="00D833C2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£195</w:t>
            </w:r>
          </w:p>
        </w:tc>
      </w:tr>
    </w:tbl>
    <w:p w14:paraId="746A2038" w14:textId="77777777" w:rsidR="00B55596" w:rsidRDefault="00B5559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900F72" w14:textId="32BC23DE" w:rsidR="00F752B3" w:rsidRDefault="00B55596" w:rsidP="00C4444E">
      <w:pPr>
        <w:rPr>
          <w:rFonts w:ascii="Arial" w:hAnsi="Arial" w:cs="Arial"/>
        </w:rPr>
      </w:pPr>
      <w:r w:rsidRPr="00B55596">
        <w:rPr>
          <w:rFonts w:ascii="Arial" w:hAnsi="Arial" w:cs="Arial"/>
        </w:rPr>
        <w:lastRenderedPageBreak/>
        <w:t>Oxford City Council</w:t>
      </w:r>
      <w:r>
        <w:rPr>
          <w:rFonts w:ascii="Arial" w:hAnsi="Arial" w:cs="Arial"/>
        </w:rPr>
        <w:t xml:space="preserve"> wishes to ensure that compliant landlords do not “pay” for non-compliant landlords. This is demonstrated by use of different fees based on landlord behaviour.</w:t>
      </w:r>
      <w:r w:rsidR="00F752B3">
        <w:rPr>
          <w:rFonts w:ascii="Arial" w:hAnsi="Arial" w:cs="Arial"/>
        </w:rPr>
        <w:t xml:space="preserve"> </w:t>
      </w:r>
    </w:p>
    <w:p w14:paraId="4EF0BC8D" w14:textId="2DB51F0E" w:rsidR="00F752B3" w:rsidRDefault="008E117F" w:rsidP="00C4444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7532B5" wp14:editId="4061B070">
            <wp:extent cx="5731510" cy="3731895"/>
            <wp:effectExtent l="0" t="0" r="254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0D8587" w14:textId="6402532F" w:rsidR="00B95831" w:rsidRDefault="00B95831" w:rsidP="00C4444E">
      <w:pPr>
        <w:rPr>
          <w:rFonts w:ascii="Arial" w:hAnsi="Arial" w:cs="Arial"/>
          <w:b/>
          <w:bCs/>
          <w:i/>
          <w:sz w:val="22"/>
          <w:szCs w:val="22"/>
        </w:rPr>
      </w:pPr>
      <w:r w:rsidRPr="00B95831">
        <w:rPr>
          <w:rFonts w:ascii="Arial" w:hAnsi="Arial" w:cs="Arial"/>
          <w:b/>
          <w:bCs/>
          <w:i/>
          <w:sz w:val="22"/>
          <w:szCs w:val="22"/>
        </w:rPr>
        <w:t>New Application Fees paid over five years-National Average (non-London) = £920</w:t>
      </w:r>
    </w:p>
    <w:p w14:paraId="05676E3D" w14:textId="77777777" w:rsidR="00ED5622" w:rsidRDefault="00ED5622" w:rsidP="00C4444E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ED5622" w14:paraId="442363C3" w14:textId="77777777" w:rsidTr="00482AF7">
        <w:tc>
          <w:tcPr>
            <w:tcW w:w="2263" w:type="dxa"/>
          </w:tcPr>
          <w:p w14:paraId="46CD5EB6" w14:textId="635674A2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>Non-compliant landlord</w:t>
            </w:r>
          </w:p>
        </w:tc>
        <w:tc>
          <w:tcPr>
            <w:tcW w:w="7230" w:type="dxa"/>
          </w:tcPr>
          <w:p w14:paraId="06C55913" w14:textId="10268697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>New: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Landlord found to be operating HMO without a licence and paid the higher new application fee. </w:t>
            </w:r>
          </w:p>
          <w:p w14:paraId="17896E92" w14:textId="48A3D199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Yr2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Failed to complete work so paid the higher renewal fee. </w:t>
            </w:r>
          </w:p>
          <w:p w14:paraId="1EE7C30C" w14:textId="08321F03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Yr3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on previous licence however failed to proactively manage the property so paid a higher renewal fee again.</w:t>
            </w:r>
          </w:p>
          <w:p w14:paraId="739FF2B8" w14:textId="1B5DD8AE" w:rsidR="00ED5622" w:rsidRPr="00ED5622" w:rsidRDefault="00ED5622" w:rsidP="00ED5622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Yr4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this work and a few minor issues noted so were granted a one year licence</w:t>
            </w:r>
          </w:p>
          <w:p w14:paraId="4FB7401C" w14:textId="4826BF71" w:rsidR="00ED5622" w:rsidRPr="00ED5622" w:rsidRDefault="00ED5622" w:rsidP="00ED5622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Yr5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so received one year licence again.</w:t>
            </w:r>
          </w:p>
        </w:tc>
      </w:tr>
      <w:tr w:rsidR="00ED5622" w14:paraId="1E385FF0" w14:textId="77777777" w:rsidTr="00482AF7">
        <w:tc>
          <w:tcPr>
            <w:tcW w:w="2263" w:type="dxa"/>
          </w:tcPr>
          <w:p w14:paraId="1CB717C5" w14:textId="28F11442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Improved behaviour. </w:t>
            </w:r>
          </w:p>
        </w:tc>
        <w:tc>
          <w:tcPr>
            <w:tcW w:w="7230" w:type="dxa"/>
          </w:tcPr>
          <w:p w14:paraId="035A11E0" w14:textId="70FDF3F7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New: </w:t>
            </w:r>
            <w:r w:rsidRPr="00ED5622">
              <w:rPr>
                <w:rFonts w:ascii="Arial" w:hAnsi="Arial" w:cs="Arial"/>
                <w:sz w:val="20"/>
                <w:szCs w:val="20"/>
              </w:rPr>
              <w:t>Landlord did not know they needed a licence and so paid the higher new application fee.</w:t>
            </w:r>
          </w:p>
          <w:p w14:paraId="777AAE99" w14:textId="1A41A448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Yr2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="00482AF7">
              <w:rPr>
                <w:rFonts w:ascii="Arial" w:hAnsi="Arial" w:cs="Arial"/>
                <w:sz w:val="20"/>
                <w:szCs w:val="20"/>
              </w:rPr>
              <w:t>all work required, had sent in safety certificates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without prompting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. Given </w:t>
            </w:r>
            <w:r w:rsidRPr="00ED5622">
              <w:rPr>
                <w:rFonts w:ascii="Arial" w:hAnsi="Arial" w:cs="Arial"/>
                <w:sz w:val="20"/>
                <w:szCs w:val="20"/>
              </w:rPr>
              <w:t>two year licence.</w:t>
            </w:r>
          </w:p>
          <w:p w14:paraId="37179192" w14:textId="66C158CA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 4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Two year licence.</w:t>
            </w:r>
          </w:p>
        </w:tc>
      </w:tr>
      <w:tr w:rsidR="00ED5622" w14:paraId="4B48D593" w14:textId="77777777" w:rsidTr="00482AF7">
        <w:tc>
          <w:tcPr>
            <w:tcW w:w="2263" w:type="dxa"/>
          </w:tcPr>
          <w:p w14:paraId="73C5421E" w14:textId="1A91C874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Compliant landlord – non accredited. </w:t>
            </w:r>
          </w:p>
        </w:tc>
        <w:tc>
          <w:tcPr>
            <w:tcW w:w="7230" w:type="dxa"/>
          </w:tcPr>
          <w:p w14:paraId="6269B83A" w14:textId="7724F496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>New: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Landlord applies for new licence within 12 weeks of buying property. Pays standard fee. Work needed at property so give one year licence.</w:t>
            </w:r>
          </w:p>
          <w:p w14:paraId="61741E2C" w14:textId="38D21A92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Yr2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="00482AF7">
              <w:rPr>
                <w:rFonts w:ascii="Arial" w:hAnsi="Arial" w:cs="Arial"/>
                <w:sz w:val="20"/>
                <w:szCs w:val="20"/>
              </w:rPr>
              <w:t>all work required. Sent in required safety certificates. Given two year licence.</w:t>
            </w:r>
          </w:p>
          <w:p w14:paraId="7186611F" w14:textId="7C2F88D9" w:rsidR="00ED5622" w:rsidRPr="00ED5622" w:rsidRDefault="00ED5622" w:rsidP="00C4444E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 4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 Sent in required safety certificates. Given two year licence.</w:t>
            </w:r>
          </w:p>
        </w:tc>
      </w:tr>
      <w:tr w:rsidR="00ED5622" w14:paraId="329C26F1" w14:textId="77777777" w:rsidTr="00482AF7">
        <w:tc>
          <w:tcPr>
            <w:tcW w:w="2263" w:type="dxa"/>
          </w:tcPr>
          <w:p w14:paraId="44365739" w14:textId="31C99E7B" w:rsidR="00ED5622" w:rsidRPr="00ED5622" w:rsidRDefault="001141E6" w:rsidP="00C4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 landlord – accredited (Work needed)</w:t>
            </w:r>
          </w:p>
        </w:tc>
        <w:tc>
          <w:tcPr>
            <w:tcW w:w="7230" w:type="dxa"/>
          </w:tcPr>
          <w:p w14:paraId="423E8403" w14:textId="41CE4BAA" w:rsidR="001141E6" w:rsidRPr="00ED5622" w:rsidRDefault="001141E6" w:rsidP="001141E6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>New: L</w:t>
            </w:r>
            <w:r w:rsidRPr="00ED5622">
              <w:rPr>
                <w:rFonts w:ascii="Arial" w:hAnsi="Arial" w:cs="Arial"/>
                <w:sz w:val="20"/>
                <w:szCs w:val="20"/>
              </w:rPr>
              <w:t>andlord applies for new licence within 12 weeks of buying property. Pays standard fee. Work needed at property</w:t>
            </w:r>
            <w:r w:rsidR="00482AF7">
              <w:rPr>
                <w:rFonts w:ascii="Arial" w:hAnsi="Arial" w:cs="Arial"/>
                <w:sz w:val="20"/>
                <w:szCs w:val="20"/>
              </w:rPr>
              <w:t>. G</w:t>
            </w:r>
            <w:r w:rsidRPr="00ED5622">
              <w:rPr>
                <w:rFonts w:ascii="Arial" w:hAnsi="Arial" w:cs="Arial"/>
                <w:sz w:val="20"/>
                <w:szCs w:val="20"/>
              </w:rPr>
              <w:t>ive</w:t>
            </w:r>
            <w:r w:rsidR="00482AF7">
              <w:rPr>
                <w:rFonts w:ascii="Arial" w:hAnsi="Arial" w:cs="Arial"/>
                <w:sz w:val="20"/>
                <w:szCs w:val="20"/>
              </w:rPr>
              <w:t>n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one year licence.</w:t>
            </w:r>
          </w:p>
          <w:p w14:paraId="73BCF1FB" w14:textId="3C1E2690" w:rsidR="00ED5622" w:rsidRPr="00ED5622" w:rsidRDefault="001141E6" w:rsidP="00482AF7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Yr2 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Renewal: 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482AF7">
              <w:rPr>
                <w:rFonts w:ascii="Arial" w:hAnsi="Arial" w:cs="Arial"/>
                <w:sz w:val="20"/>
                <w:szCs w:val="20"/>
              </w:rPr>
              <w:t>all work required.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Sent in required safety certificates. Given five year. </w:t>
            </w:r>
          </w:p>
        </w:tc>
      </w:tr>
      <w:tr w:rsidR="00ED5622" w14:paraId="3E806819" w14:textId="77777777" w:rsidTr="00482AF7">
        <w:tc>
          <w:tcPr>
            <w:tcW w:w="2263" w:type="dxa"/>
          </w:tcPr>
          <w:p w14:paraId="2B8EAFAA" w14:textId="11C04D80" w:rsidR="00ED5622" w:rsidRPr="00ED5622" w:rsidRDefault="001141E6" w:rsidP="00C4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 landlord – accredited and pre-licence visit.</w:t>
            </w:r>
          </w:p>
        </w:tc>
        <w:tc>
          <w:tcPr>
            <w:tcW w:w="7230" w:type="dxa"/>
          </w:tcPr>
          <w:p w14:paraId="418CACFB" w14:textId="354CFB45" w:rsidR="00ED5622" w:rsidRDefault="001141E6" w:rsidP="00C4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Yr0</w:t>
            </w:r>
            <w:r w:rsidR="00482AF7">
              <w:rPr>
                <w:rFonts w:ascii="Arial" w:hAnsi="Arial" w:cs="Arial"/>
                <w:sz w:val="20"/>
                <w:szCs w:val="20"/>
              </w:rPr>
              <w:t>: Pre-application: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letting the house, the landlord pays for a “pre-licence visit”. They complete the work.</w:t>
            </w:r>
          </w:p>
          <w:p w14:paraId="1BF5C482" w14:textId="6C8D19E0" w:rsidR="001141E6" w:rsidRPr="00ED5622" w:rsidRDefault="001141E6" w:rsidP="00482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New: </w:t>
            </w:r>
            <w:r w:rsidRPr="00ED5622">
              <w:rPr>
                <w:rFonts w:ascii="Arial" w:hAnsi="Arial" w:cs="Arial"/>
                <w:sz w:val="20"/>
                <w:szCs w:val="20"/>
              </w:rPr>
              <w:t>Landlord applies for new licence within 12 weeks of buying property. Pays standard fee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82AF7">
              <w:rPr>
                <w:rFonts w:ascii="Arial" w:hAnsi="Arial" w:cs="Arial"/>
                <w:sz w:val="20"/>
                <w:szCs w:val="20"/>
              </w:rPr>
              <w:t>No work needed. Sent in safety certificates L</w:t>
            </w:r>
            <w:r>
              <w:rPr>
                <w:rFonts w:ascii="Arial" w:hAnsi="Arial" w:cs="Arial"/>
                <w:sz w:val="20"/>
                <w:szCs w:val="20"/>
              </w:rPr>
              <w:t>andlord is accredited then given five year licence.</w:t>
            </w:r>
          </w:p>
        </w:tc>
      </w:tr>
    </w:tbl>
    <w:p w14:paraId="03864631" w14:textId="4597ACEB" w:rsidR="00ED5622" w:rsidRDefault="00ED562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4D05FA" w14:textId="3E658D75" w:rsidR="00C01F1E" w:rsidRDefault="00B95831" w:rsidP="00C4444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8F0A24F" wp14:editId="4AB1C6EF">
            <wp:extent cx="5731510" cy="3731895"/>
            <wp:effectExtent l="0" t="0" r="2540" b="19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6FF673" w14:textId="3C814671" w:rsidR="00B95831" w:rsidRPr="00C85C01" w:rsidRDefault="00B95831" w:rsidP="00C4444E">
      <w:pPr>
        <w:rPr>
          <w:rFonts w:ascii="Arial" w:hAnsi="Arial" w:cs="Arial"/>
          <w:b/>
          <w:i/>
          <w:sz w:val="22"/>
          <w:szCs w:val="22"/>
        </w:rPr>
      </w:pPr>
      <w:r w:rsidRPr="00B95831">
        <w:rPr>
          <w:rFonts w:ascii="Arial" w:hAnsi="Arial" w:cs="Arial"/>
          <w:b/>
          <w:bCs/>
          <w:i/>
          <w:sz w:val="22"/>
          <w:szCs w:val="22"/>
        </w:rPr>
        <w:t>Renewal Application Fees paid over five years-National Average (non-London) =£689</w:t>
      </w:r>
    </w:p>
    <w:p w14:paraId="1741FB50" w14:textId="77777777" w:rsidR="00EE27C8" w:rsidRDefault="00EE27C8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8E117F" w14:paraId="67FB5B34" w14:textId="77777777" w:rsidTr="00DE5C29">
        <w:tc>
          <w:tcPr>
            <w:tcW w:w="2405" w:type="dxa"/>
          </w:tcPr>
          <w:p w14:paraId="076C8458" w14:textId="77777777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>Non-compliant landlord</w:t>
            </w:r>
          </w:p>
        </w:tc>
        <w:tc>
          <w:tcPr>
            <w:tcW w:w="7088" w:type="dxa"/>
          </w:tcPr>
          <w:p w14:paraId="3B1268BD" w14:textId="79E58322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Failed 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to complete work so paid the higher renewal fee. </w:t>
            </w:r>
          </w:p>
          <w:p w14:paraId="4C48F1F4" w14:textId="383D55DE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Yr2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F7">
              <w:rPr>
                <w:rFonts w:ascii="Arial" w:hAnsi="Arial" w:cs="Arial"/>
                <w:sz w:val="20"/>
                <w:szCs w:val="20"/>
              </w:rPr>
              <w:t>R</w:t>
            </w:r>
            <w:r w:rsidRPr="00ED5622">
              <w:rPr>
                <w:rFonts w:ascii="Arial" w:hAnsi="Arial" w:cs="Arial"/>
                <w:sz w:val="20"/>
                <w:szCs w:val="20"/>
              </w:rPr>
              <w:t>enewal</w:t>
            </w:r>
            <w:r w:rsidR="00482AF7">
              <w:rPr>
                <w:rFonts w:ascii="Arial" w:hAnsi="Arial" w:cs="Arial"/>
                <w:sz w:val="20"/>
                <w:szCs w:val="20"/>
              </w:rPr>
              <w:t>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on previous licence however failed to proactively manage the property so paid a higher renewal fee again.</w:t>
            </w:r>
          </w:p>
          <w:p w14:paraId="1E081B88" w14:textId="205B99D3" w:rsidR="008E117F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Yr3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on previous licence however failed to proactively manage the property so paid a higher renewal fee again.</w:t>
            </w:r>
          </w:p>
          <w:p w14:paraId="16BEAC86" w14:textId="37665C53" w:rsidR="008E117F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Yr4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on previous licence however failed to proactively manage the property so paid a higher renewal fee again</w:t>
            </w:r>
          </w:p>
          <w:p w14:paraId="5DC4F517" w14:textId="409784F7" w:rsidR="008E117F" w:rsidRPr="00ED5622" w:rsidRDefault="008E117F" w:rsidP="00482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Yr5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 Completed work on previous licence however failed to proactively manage the property so paid a higher renewal fee again</w:t>
            </w:r>
          </w:p>
        </w:tc>
      </w:tr>
      <w:tr w:rsidR="008E117F" w14:paraId="3A6203CC" w14:textId="77777777" w:rsidTr="00DE5C29">
        <w:tc>
          <w:tcPr>
            <w:tcW w:w="2405" w:type="dxa"/>
          </w:tcPr>
          <w:p w14:paraId="30E6D0A7" w14:textId="77777777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Improved behaviour. </w:t>
            </w:r>
          </w:p>
        </w:tc>
        <w:tc>
          <w:tcPr>
            <w:tcW w:w="7088" w:type="dxa"/>
          </w:tcPr>
          <w:p w14:paraId="236BDCC8" w14:textId="0C0603EE" w:rsidR="008E117F" w:rsidRPr="00ED5622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Yr1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Failed </w:t>
            </w:r>
            <w:r w:rsidRPr="00ED5622">
              <w:rPr>
                <w:rFonts w:ascii="Arial" w:hAnsi="Arial" w:cs="Arial"/>
                <w:sz w:val="20"/>
                <w:szCs w:val="20"/>
              </w:rPr>
              <w:t xml:space="preserve">to complete work so paid the higher renewal fee. </w:t>
            </w:r>
          </w:p>
          <w:p w14:paraId="19FEE543" w14:textId="2BF8E09A" w:rsidR="008E117F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Yr2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work, minor work required so paid one year feed.</w:t>
            </w:r>
          </w:p>
          <w:p w14:paraId="078C030C" w14:textId="7C6DF2A0" w:rsidR="008E117F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Yr3 Renewal</w:t>
            </w:r>
            <w:r w:rsidR="00482AF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work, however safety certificates not sent in so paid one year fee</w:t>
            </w:r>
          </w:p>
          <w:p w14:paraId="674AC485" w14:textId="2E8FBC1B" w:rsidR="008E117F" w:rsidRPr="00ED5622" w:rsidRDefault="00482AF7" w:rsidP="00482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 4 </w:t>
            </w:r>
            <w:r w:rsidR="008E117F">
              <w:rPr>
                <w:rFonts w:ascii="Arial" w:hAnsi="Arial" w:cs="Arial"/>
                <w:sz w:val="20"/>
                <w:szCs w:val="20"/>
              </w:rPr>
              <w:t>Renewal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E117F">
              <w:rPr>
                <w:rFonts w:ascii="Arial" w:hAnsi="Arial" w:cs="Arial"/>
                <w:sz w:val="20"/>
                <w:szCs w:val="20"/>
              </w:rPr>
              <w:t xml:space="preserve"> Sent in required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8E117F">
              <w:rPr>
                <w:rFonts w:ascii="Arial" w:hAnsi="Arial" w:cs="Arial"/>
                <w:sz w:val="20"/>
                <w:szCs w:val="20"/>
              </w:rPr>
              <w:t>certificates. Given two year licence.</w:t>
            </w:r>
          </w:p>
        </w:tc>
      </w:tr>
      <w:tr w:rsidR="008E117F" w14:paraId="432E6E7E" w14:textId="77777777" w:rsidTr="00DE5C29">
        <w:tc>
          <w:tcPr>
            <w:tcW w:w="2405" w:type="dxa"/>
          </w:tcPr>
          <w:p w14:paraId="5D388F03" w14:textId="62ADFCC0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 xml:space="preserve">Compliant landlord – non accredited. </w:t>
            </w:r>
          </w:p>
        </w:tc>
        <w:tc>
          <w:tcPr>
            <w:tcW w:w="7088" w:type="dxa"/>
          </w:tcPr>
          <w:p w14:paraId="212634E3" w14:textId="36CB412A" w:rsidR="008E117F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>Yr</w:t>
            </w:r>
            <w:r w:rsidR="00482AF7">
              <w:rPr>
                <w:rFonts w:ascii="Arial" w:hAnsi="Arial" w:cs="Arial"/>
                <w:sz w:val="20"/>
                <w:szCs w:val="20"/>
              </w:rPr>
              <w:t>1 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work on previous licence, all </w:t>
            </w:r>
            <w:r w:rsidR="00482AF7"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 sent in. Given two year licence.</w:t>
            </w:r>
          </w:p>
          <w:p w14:paraId="5C6383F2" w14:textId="5B301519" w:rsidR="008E117F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Yr3 Renewal</w:t>
            </w:r>
            <w:r w:rsidR="00482AF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Sent in required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certificates. Given two year licence.</w:t>
            </w:r>
          </w:p>
          <w:p w14:paraId="33DD12FE" w14:textId="5EA65040" w:rsidR="008E117F" w:rsidRPr="00ED5622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Yr5 </w:t>
            </w:r>
            <w:r w:rsidR="00482AF7">
              <w:rPr>
                <w:rFonts w:ascii="Arial" w:hAnsi="Arial" w:cs="Arial"/>
                <w:sz w:val="20"/>
                <w:szCs w:val="20"/>
              </w:rPr>
              <w:t>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Sent in required </w:t>
            </w:r>
            <w:r w:rsidR="00482AF7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>
              <w:rPr>
                <w:rFonts w:ascii="Arial" w:hAnsi="Arial" w:cs="Arial"/>
                <w:sz w:val="20"/>
                <w:szCs w:val="20"/>
              </w:rPr>
              <w:t>certificates. Given two year licence.</w:t>
            </w:r>
          </w:p>
        </w:tc>
      </w:tr>
      <w:tr w:rsidR="008E117F" w14:paraId="02F9ACB4" w14:textId="77777777" w:rsidTr="00DE5C29">
        <w:tc>
          <w:tcPr>
            <w:tcW w:w="2405" w:type="dxa"/>
          </w:tcPr>
          <w:p w14:paraId="6751B7E8" w14:textId="72BF360D" w:rsidR="008E117F" w:rsidRPr="00ED5622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Compliant landlord – accredited </w:t>
            </w:r>
          </w:p>
        </w:tc>
        <w:tc>
          <w:tcPr>
            <w:tcW w:w="7088" w:type="dxa"/>
          </w:tcPr>
          <w:p w14:paraId="45091AD8" w14:textId="251A5328" w:rsidR="008E117F" w:rsidRPr="00ED5622" w:rsidRDefault="008E117F" w:rsidP="008E117F">
            <w:pPr>
              <w:rPr>
                <w:rFonts w:ascii="Arial" w:hAnsi="Arial" w:cs="Arial"/>
                <w:sz w:val="20"/>
                <w:szCs w:val="20"/>
              </w:rPr>
            </w:pPr>
            <w:r w:rsidRPr="00ED5622">
              <w:rPr>
                <w:rFonts w:ascii="Arial" w:hAnsi="Arial" w:cs="Arial"/>
                <w:sz w:val="20"/>
                <w:szCs w:val="20"/>
              </w:rPr>
              <w:t>Y</w:t>
            </w:r>
            <w:r w:rsidR="00482AF7">
              <w:rPr>
                <w:rFonts w:ascii="Arial" w:hAnsi="Arial" w:cs="Arial"/>
                <w:sz w:val="20"/>
                <w:szCs w:val="20"/>
              </w:rPr>
              <w:t>r1 Renewal: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work on previous licence, all safety certificates sent in. Landlord is accredited. Given five year licence.</w:t>
            </w:r>
          </w:p>
          <w:p w14:paraId="0957A8F6" w14:textId="2C8985FD" w:rsidR="008E117F" w:rsidRPr="00ED5622" w:rsidRDefault="008E117F" w:rsidP="00DE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6B939" w14:textId="77777777" w:rsidR="008E117F" w:rsidRDefault="008E117F">
      <w:pPr>
        <w:rPr>
          <w:rFonts w:ascii="Arial" w:hAnsi="Arial" w:cs="Arial"/>
        </w:rPr>
        <w:sectPr w:rsidR="008E117F" w:rsidSect="00877B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B95831" w:rsidRPr="00B95831" w14:paraId="164C0CBF" w14:textId="77777777" w:rsidTr="00E95261">
        <w:tc>
          <w:tcPr>
            <w:tcW w:w="14029" w:type="dxa"/>
            <w:shd w:val="clear" w:color="auto" w:fill="9CC2E5" w:themeFill="accent1" w:themeFillTint="99"/>
          </w:tcPr>
          <w:p w14:paraId="242E10ED" w14:textId="77777777" w:rsidR="00B95831" w:rsidRPr="00B95831" w:rsidRDefault="00B95831" w:rsidP="00E95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5831">
              <w:rPr>
                <w:rFonts w:ascii="Arial" w:hAnsi="Arial" w:cs="Arial"/>
                <w:b/>
              </w:rPr>
              <w:lastRenderedPageBreak/>
              <w:t xml:space="preserve">Table 2 – costs included in fees </w:t>
            </w:r>
          </w:p>
        </w:tc>
      </w:tr>
      <w:tr w:rsidR="00B95831" w:rsidRPr="00393E39" w14:paraId="417E73E6" w14:textId="77777777" w:rsidTr="00E95261">
        <w:tc>
          <w:tcPr>
            <w:tcW w:w="14029" w:type="dxa"/>
            <w:shd w:val="clear" w:color="auto" w:fill="auto"/>
          </w:tcPr>
          <w:p w14:paraId="7E91BB26" w14:textId="666AD36C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CATEGORY A – Higher charge NEW HMO application where the HMO has been operating for more than 12 weeks.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The higher fee is to reflect the additional time spent generally on </w:t>
            </w:r>
            <w:r>
              <w:rPr>
                <w:rFonts w:ascii="Arial" w:hAnsi="Arial" w:cs="Arial"/>
                <w:sz w:val="22"/>
                <w:szCs w:val="22"/>
              </w:rPr>
              <w:t xml:space="preserve">enforcement of </w:t>
            </w:r>
            <w:r w:rsidRPr="00393E39">
              <w:rPr>
                <w:rFonts w:ascii="Arial" w:hAnsi="Arial" w:cs="Arial"/>
                <w:sz w:val="22"/>
                <w:szCs w:val="22"/>
              </w:rPr>
              <w:t>unlicensed HMO</w:t>
            </w:r>
            <w:r w:rsidR="00CB582F">
              <w:rPr>
                <w:rFonts w:ascii="Arial" w:hAnsi="Arial" w:cs="Arial"/>
                <w:sz w:val="22"/>
                <w:szCs w:val="22"/>
              </w:rPr>
              <w:t>s</w:t>
            </w:r>
            <w:r w:rsidRPr="00393E39">
              <w:rPr>
                <w:rFonts w:ascii="Arial" w:hAnsi="Arial" w:cs="Arial"/>
                <w:sz w:val="22"/>
                <w:szCs w:val="22"/>
              </w:rPr>
              <w:t>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includes the time: </w:t>
            </w:r>
          </w:p>
          <w:p w14:paraId="37C590C0" w14:textId="77777777" w:rsidR="00B95831" w:rsidRPr="00393E39" w:rsidRDefault="00B95831" w:rsidP="00E952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application;</w:t>
            </w:r>
          </w:p>
          <w:p w14:paraId="314ED79D" w14:textId="77777777" w:rsidR="00B95831" w:rsidRPr="00393E39" w:rsidRDefault="00B95831" w:rsidP="00E952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an inspection before the licence is granted to establish occupancy number and any additional work needed and the time to write licence conditions; </w:t>
            </w:r>
          </w:p>
          <w:p w14:paraId="38B26EEA" w14:textId="77777777" w:rsidR="00B95831" w:rsidRPr="00393E39" w:rsidRDefault="00B95831" w:rsidP="00E952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a compliance visit during the licence;</w:t>
            </w:r>
          </w:p>
          <w:p w14:paraId="08A0EEFE" w14:textId="77777777" w:rsidR="00A94D17" w:rsidRDefault="00B95831" w:rsidP="00A94D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an enforcement charge – this charge is added to reflect the time spent over a five year period on unlicensed HMOs</w:t>
            </w:r>
            <w:r w:rsidR="00A94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6A0AA" w14:textId="20FD430B" w:rsidR="00B95831" w:rsidRPr="00393E39" w:rsidRDefault="00B95831" w:rsidP="00A94D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exemptions, landlord educational events, responding to service requests relating to HMOs</w:t>
            </w:r>
          </w:p>
        </w:tc>
      </w:tr>
      <w:tr w:rsidR="00B95831" w:rsidRPr="00393E39" w14:paraId="35E8A2CE" w14:textId="77777777" w:rsidTr="00E95261">
        <w:tc>
          <w:tcPr>
            <w:tcW w:w="14029" w:type="dxa"/>
            <w:shd w:val="clear" w:color="auto" w:fill="auto"/>
          </w:tcPr>
          <w:p w14:paraId="2B3105BD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393E39">
              <w:rPr>
                <w:rFonts w:ascii="Arial" w:hAnsi="Arial" w:cs="Arial"/>
                <w:sz w:val="22"/>
                <w:szCs w:val="22"/>
              </w:rPr>
              <w:t>CATEGORY B - Standard NEW HMO application made within 12 weeks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category is when a NEW licence application is made promptly - it is our standard cost for a new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category also applies where a licence has expired and a new application is received within six weeks of the expiry date.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includes the time: </w:t>
            </w:r>
          </w:p>
          <w:p w14:paraId="12B5EC92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application;</w:t>
            </w:r>
          </w:p>
          <w:p w14:paraId="68414666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an inspection before the licence is granted to establish occupancy number and any additional work needed and the time to write licence conditions; </w:t>
            </w:r>
          </w:p>
          <w:p w14:paraId="2B369B16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a compliance visit during the licence;</w:t>
            </w:r>
          </w:p>
          <w:p w14:paraId="68E86146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exemptions, landlord educational events, responding to service requests relating to HMOs</w:t>
            </w:r>
          </w:p>
        </w:tc>
      </w:tr>
      <w:tr w:rsidR="00B95831" w:rsidRPr="00AF06F5" w14:paraId="3BF498BC" w14:textId="77777777" w:rsidTr="00E95261">
        <w:tc>
          <w:tcPr>
            <w:tcW w:w="14029" w:type="dxa"/>
            <w:shd w:val="clear" w:color="auto" w:fill="auto"/>
          </w:tcPr>
          <w:p w14:paraId="38BA93A6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CATEGORY C – Standard RENEWAL HMO application.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category is for a RENEWAL licence - it is our standard cost for a renewal application.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applies where the landlord does not meet the criteria to receive a two or five year licence.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includes the time: </w:t>
            </w:r>
          </w:p>
          <w:p w14:paraId="68BF26D6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application;</w:t>
            </w:r>
          </w:p>
          <w:p w14:paraId="0841D04A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a percentage cost for a five year inspection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93E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Council must be satisfied there are no Part 1 Category one hazards every five years. Category C licences include a percentage costs towards an inspection. </w:t>
            </w:r>
          </w:p>
          <w:p w14:paraId="5FE0539D" w14:textId="77777777" w:rsidR="00B95831" w:rsidRPr="00AF06F5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06F5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exemptions, landlord educat</w:t>
            </w:r>
            <w:r>
              <w:rPr>
                <w:rFonts w:ascii="Arial" w:hAnsi="Arial" w:cs="Arial"/>
                <w:sz w:val="22"/>
                <w:szCs w:val="22"/>
              </w:rPr>
              <w:t xml:space="preserve">ional events, </w:t>
            </w:r>
            <w:r w:rsidRPr="00AF06F5">
              <w:rPr>
                <w:rFonts w:ascii="Arial" w:hAnsi="Arial" w:cs="Arial"/>
                <w:sz w:val="22"/>
                <w:szCs w:val="22"/>
              </w:rPr>
              <w:t>responding to service requests relating to HMOs</w:t>
            </w:r>
          </w:p>
        </w:tc>
      </w:tr>
    </w:tbl>
    <w:p w14:paraId="319430F3" w14:textId="77777777" w:rsidR="00B95831" w:rsidRDefault="00B95831" w:rsidP="00B95831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8E7AA7" w:rsidRPr="00B95831" w14:paraId="2CBB79B3" w14:textId="77777777" w:rsidTr="000E0666">
        <w:tc>
          <w:tcPr>
            <w:tcW w:w="14029" w:type="dxa"/>
            <w:shd w:val="clear" w:color="auto" w:fill="9CC2E5" w:themeFill="accent1" w:themeFillTint="99"/>
          </w:tcPr>
          <w:p w14:paraId="5EDBAE52" w14:textId="77777777" w:rsidR="008E7AA7" w:rsidRPr="00B95831" w:rsidRDefault="008E7AA7" w:rsidP="000E0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5831">
              <w:rPr>
                <w:rFonts w:ascii="Arial" w:hAnsi="Arial" w:cs="Arial"/>
                <w:b/>
              </w:rPr>
              <w:lastRenderedPageBreak/>
              <w:t xml:space="preserve">Table 2 – costs included in fees </w:t>
            </w:r>
          </w:p>
        </w:tc>
      </w:tr>
      <w:tr w:rsidR="00B95831" w:rsidRPr="00AF06F5" w14:paraId="66F3AE16" w14:textId="77777777" w:rsidTr="00E95261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AD27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CATEGORY D - non compliant RENEWAL HMO application.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category is when a RENEWAL licence application is classed as "non-compliant". This may be for a variety of reasons e.g. </w:t>
            </w:r>
          </w:p>
          <w:p w14:paraId="6FCD6098" w14:textId="77777777" w:rsidR="00B95831" w:rsidRPr="00393E39" w:rsidRDefault="00B95831" w:rsidP="00E95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on the day of the compliance inspection, work was not completed within the timescale set; </w:t>
            </w:r>
          </w:p>
          <w:p w14:paraId="34FFA699" w14:textId="77777777" w:rsidR="00B95831" w:rsidRPr="00393E39" w:rsidRDefault="00B95831" w:rsidP="00E95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there has been a service request that has led to work being added during the last licence;</w:t>
            </w:r>
          </w:p>
          <w:p w14:paraId="4EA70D54" w14:textId="77777777" w:rsidR="00B95831" w:rsidRPr="00393E39" w:rsidRDefault="00B95831" w:rsidP="00E95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action required by the council to resolve problems; </w:t>
            </w:r>
          </w:p>
          <w:p w14:paraId="79B72FDF" w14:textId="77777777" w:rsidR="00B95831" w:rsidRPr="00393E39" w:rsidRDefault="00B95831" w:rsidP="00E95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repeated failure to send in certificates on expiry;</w:t>
            </w:r>
          </w:p>
          <w:p w14:paraId="03B46E7C" w14:textId="77777777" w:rsidR="00B95831" w:rsidRPr="00393E39" w:rsidRDefault="00B95831" w:rsidP="00E95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other reasons to be considered non-compliant</w:t>
            </w:r>
          </w:p>
          <w:p w14:paraId="3BFF30E3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This includes the time: </w:t>
            </w:r>
          </w:p>
          <w:p w14:paraId="480343E3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 including time spent writing additional conditions on the licence due to the non - compliance;</w:t>
            </w:r>
          </w:p>
          <w:p w14:paraId="405049FC" w14:textId="77777777" w:rsidR="00B95831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a compliance visit during the licence;</w:t>
            </w:r>
          </w:p>
          <w:p w14:paraId="63331F50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additional charge to reflect the increased cost associated with poor compliance generally across the scheme</w:t>
            </w:r>
          </w:p>
          <w:p w14:paraId="3B4526F1" w14:textId="77777777" w:rsidR="00B95831" w:rsidRPr="00AF06F5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06F5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exemptions, landlord educa</w:t>
            </w:r>
            <w:r>
              <w:rPr>
                <w:rFonts w:ascii="Arial" w:hAnsi="Arial" w:cs="Arial"/>
                <w:sz w:val="22"/>
                <w:szCs w:val="22"/>
              </w:rPr>
              <w:t>tional events,</w:t>
            </w:r>
            <w:r w:rsidRPr="00AF06F5">
              <w:rPr>
                <w:rFonts w:ascii="Arial" w:hAnsi="Arial" w:cs="Arial"/>
                <w:sz w:val="22"/>
                <w:szCs w:val="22"/>
              </w:rPr>
              <w:t xml:space="preserve"> responding to service requests relating to HMOs</w:t>
            </w:r>
          </w:p>
        </w:tc>
      </w:tr>
      <w:tr w:rsidR="00B95831" w:rsidRPr="00393E39" w14:paraId="00C11F0E" w14:textId="77777777" w:rsidTr="00E95261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739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CATEGORY E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category is for a RENEWAL licence - it is for landlords who are compliant and meet our two year licence criteria.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includes the time: </w:t>
            </w:r>
          </w:p>
          <w:p w14:paraId="6606B864" w14:textId="77777777" w:rsidR="00B95831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application;</w:t>
            </w:r>
          </w:p>
          <w:p w14:paraId="2ADCC77F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 xml:space="preserve">a percentage cost for a five year inspection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93E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Council must be satisfied there are no Part 1 Category one hazards every five years. Category E licences include a percentage costs towards an inspection. </w:t>
            </w:r>
          </w:p>
          <w:p w14:paraId="72DE0D94" w14:textId="77777777" w:rsidR="00B95831" w:rsidRPr="005C502E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C502E">
              <w:rPr>
                <w:rFonts w:ascii="Arial" w:hAnsi="Arial" w:cs="Arial"/>
                <w:sz w:val="22"/>
                <w:szCs w:val="22"/>
              </w:rPr>
              <w:t>two year licence ongoing administration charge - towards ongoing enforcement / audit checks,</w:t>
            </w:r>
          </w:p>
          <w:p w14:paraId="4BBBDAAE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exemptions, landlord educa</w:t>
            </w:r>
            <w:r>
              <w:rPr>
                <w:rFonts w:ascii="Arial" w:hAnsi="Arial" w:cs="Arial"/>
                <w:sz w:val="22"/>
                <w:szCs w:val="22"/>
              </w:rPr>
              <w:t>tional events,</w:t>
            </w:r>
            <w:r w:rsidRPr="00393E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5831" w:rsidRPr="00AF06F5" w14:paraId="1712CC75" w14:textId="77777777" w:rsidTr="00E95261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0766" w14:textId="77777777" w:rsidR="00B95831" w:rsidRPr="00393E39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CATEGORY F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>This category is for a RENEWAL licence - it is for landlords who are compliant and meet our five year licence criteria.</w:t>
            </w:r>
            <w:r w:rsidRPr="00393E39">
              <w:rPr>
                <w:rFonts w:ascii="Arial" w:hAnsi="Arial" w:cs="Arial"/>
                <w:sz w:val="22"/>
                <w:szCs w:val="22"/>
              </w:rPr>
              <w:br/>
              <w:t xml:space="preserve">This includes the time: </w:t>
            </w:r>
          </w:p>
          <w:p w14:paraId="6D158714" w14:textId="77777777" w:rsidR="00B95831" w:rsidRPr="00393E39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3E39">
              <w:rPr>
                <w:rFonts w:ascii="Arial" w:hAnsi="Arial" w:cs="Arial"/>
                <w:sz w:val="22"/>
                <w:szCs w:val="22"/>
              </w:rPr>
              <w:t>to process the application;</w:t>
            </w:r>
          </w:p>
          <w:p w14:paraId="6DEC0A5A" w14:textId="77777777" w:rsidR="00B95831" w:rsidRPr="005C502E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</w:t>
            </w:r>
            <w:r w:rsidRPr="005C502E">
              <w:rPr>
                <w:rFonts w:ascii="Arial" w:hAnsi="Arial" w:cs="Arial"/>
                <w:sz w:val="22"/>
                <w:szCs w:val="22"/>
              </w:rPr>
              <w:t xml:space="preserve"> year licence ongoing administration charge -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93E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Council must be satisfied there are no Part 1 Category one hazards every five years. Category F licences include a percentage cost towards a five year audit or inspection.</w:t>
            </w:r>
          </w:p>
          <w:p w14:paraId="13561F80" w14:textId="77777777" w:rsidR="00B95831" w:rsidRDefault="00B95831" w:rsidP="00E95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F06F5">
              <w:rPr>
                <w:rFonts w:ascii="Arial" w:hAnsi="Arial" w:cs="Arial"/>
                <w:sz w:val="22"/>
                <w:szCs w:val="22"/>
              </w:rPr>
              <w:t>general scheme costs - this charge is added to all licences to reflect ongoing costs associated with licensing, such as variations, revocations, temporary exemption</w:t>
            </w:r>
            <w:r>
              <w:rPr>
                <w:rFonts w:ascii="Arial" w:hAnsi="Arial" w:cs="Arial"/>
                <w:sz w:val="22"/>
                <w:szCs w:val="22"/>
              </w:rPr>
              <w:t xml:space="preserve">s, landlord educational events, </w:t>
            </w:r>
            <w:r w:rsidRPr="00393E39">
              <w:rPr>
                <w:rFonts w:ascii="Arial" w:hAnsi="Arial" w:cs="Arial"/>
                <w:sz w:val="22"/>
                <w:szCs w:val="22"/>
              </w:rPr>
              <w:t>responding to service requests relating to HMOs.</w:t>
            </w:r>
          </w:p>
          <w:p w14:paraId="6A032E44" w14:textId="77777777" w:rsidR="00B95831" w:rsidRPr="00AF06F5" w:rsidRDefault="00B95831" w:rsidP="00E95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discount has then been applied to reflect the anticipated lower enforcement costs associated with accredited landlords.</w:t>
            </w:r>
          </w:p>
        </w:tc>
      </w:tr>
    </w:tbl>
    <w:p w14:paraId="7EE130D8" w14:textId="77777777" w:rsidR="00B95831" w:rsidRDefault="00B9583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972"/>
        <w:gridCol w:w="7655"/>
        <w:gridCol w:w="3402"/>
      </w:tblGrid>
      <w:tr w:rsidR="00EE27C8" w14:paraId="06CE09B4" w14:textId="77777777" w:rsidTr="000428B0">
        <w:tc>
          <w:tcPr>
            <w:tcW w:w="14029" w:type="dxa"/>
            <w:gridSpan w:val="3"/>
            <w:shd w:val="clear" w:color="auto" w:fill="9CC2E5" w:themeFill="accent1" w:themeFillTint="99"/>
          </w:tcPr>
          <w:p w14:paraId="63C3D3A7" w14:textId="4639B59D" w:rsidR="00EE27C8" w:rsidRDefault="00B95831" w:rsidP="00CF6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Table 3  -  </w:t>
            </w:r>
            <w:r w:rsidR="00EE27C8" w:rsidRPr="00CF6C99">
              <w:rPr>
                <w:rFonts w:ascii="Arial" w:hAnsi="Arial" w:cs="Arial"/>
                <w:b/>
              </w:rPr>
              <w:t>Refund criteria</w:t>
            </w:r>
          </w:p>
          <w:p w14:paraId="32E38A53" w14:textId="5E3E646C" w:rsidR="00EE27C8" w:rsidRPr="00CF6C99" w:rsidRDefault="00EE27C8" w:rsidP="00CF6C99">
            <w:pPr>
              <w:rPr>
                <w:rFonts w:ascii="Arial" w:hAnsi="Arial" w:cs="Arial"/>
                <w:b/>
              </w:rPr>
            </w:pPr>
            <w:r w:rsidRPr="00911002">
              <w:rPr>
                <w:rFonts w:ascii="Arial" w:hAnsi="Arial" w:cs="Arial"/>
                <w:i/>
                <w:sz w:val="22"/>
                <w:szCs w:val="22"/>
              </w:rPr>
              <w:t>The retained amount covers administration costs</w:t>
            </w:r>
          </w:p>
          <w:p w14:paraId="36AC3084" w14:textId="104936B1" w:rsidR="00EE27C8" w:rsidRDefault="00EE27C8" w:rsidP="00CF6C99">
            <w:pPr>
              <w:rPr>
                <w:rFonts w:ascii="Arial" w:hAnsi="Arial" w:cs="Arial"/>
              </w:rPr>
            </w:pPr>
          </w:p>
        </w:tc>
      </w:tr>
      <w:tr w:rsidR="00EE27C8" w14:paraId="403956AB" w14:textId="77777777" w:rsidTr="00EE27C8">
        <w:tc>
          <w:tcPr>
            <w:tcW w:w="2972" w:type="dxa"/>
          </w:tcPr>
          <w:p w14:paraId="2956F863" w14:textId="1944B459" w:rsidR="00EE27C8" w:rsidRPr="00CF6C99" w:rsidRDefault="00EE27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Type</w:t>
            </w:r>
          </w:p>
        </w:tc>
        <w:tc>
          <w:tcPr>
            <w:tcW w:w="7655" w:type="dxa"/>
          </w:tcPr>
          <w:p w14:paraId="1108444D" w14:textId="6C254D75" w:rsidR="00EE27C8" w:rsidRPr="00CF6C99" w:rsidRDefault="00EE27C8">
            <w:pPr>
              <w:rPr>
                <w:rFonts w:ascii="Arial" w:hAnsi="Arial" w:cs="Arial"/>
                <w:b/>
              </w:rPr>
            </w:pPr>
            <w:r w:rsidRPr="00CF6C99">
              <w:rPr>
                <w:rFonts w:ascii="Arial" w:hAnsi="Arial" w:cs="Arial"/>
                <w:b/>
              </w:rPr>
              <w:t>Circumstance</w:t>
            </w:r>
          </w:p>
        </w:tc>
        <w:tc>
          <w:tcPr>
            <w:tcW w:w="3402" w:type="dxa"/>
          </w:tcPr>
          <w:p w14:paraId="0883B813" w14:textId="0215952B" w:rsidR="00EE27C8" w:rsidRPr="00CF6C99" w:rsidRDefault="00EE27C8">
            <w:pPr>
              <w:rPr>
                <w:rFonts w:ascii="Arial" w:hAnsi="Arial" w:cs="Arial"/>
                <w:b/>
              </w:rPr>
            </w:pPr>
            <w:r w:rsidRPr="00CF6C99">
              <w:rPr>
                <w:rFonts w:ascii="Arial" w:hAnsi="Arial" w:cs="Arial"/>
                <w:b/>
              </w:rPr>
              <w:t>Refund</w:t>
            </w:r>
          </w:p>
        </w:tc>
      </w:tr>
      <w:tr w:rsidR="00EE27C8" w14:paraId="5A1DA489" w14:textId="77777777" w:rsidTr="00EE27C8">
        <w:tc>
          <w:tcPr>
            <w:tcW w:w="2972" w:type="dxa"/>
          </w:tcPr>
          <w:p w14:paraId="040422FD" w14:textId="69D23BA1" w:rsidR="00EE27C8" w:rsidRPr="00EE27C8" w:rsidRDefault="00EE27C8" w:rsidP="00EE27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New or Renewal application: </w:t>
            </w:r>
          </w:p>
          <w:p w14:paraId="72BEA693" w14:textId="4019AD0A" w:rsidR="00EE27C8" w:rsidRPr="00EE27C8" w:rsidRDefault="00EE27C8" w:rsidP="00CF6C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14:paraId="41468C3E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was not an HMO at the time the application was made and has not been occupied as an HMO</w:t>
            </w:r>
          </w:p>
          <w:p w14:paraId="44213521" w14:textId="4A7F10EC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i/>
                <w:sz w:val="22"/>
                <w:szCs w:val="22"/>
              </w:rPr>
              <w:t>Only where  a landlord can demonstrate that the property has never been occupied as an HMO</w:t>
            </w:r>
          </w:p>
        </w:tc>
        <w:tc>
          <w:tcPr>
            <w:tcW w:w="3402" w:type="dxa"/>
          </w:tcPr>
          <w:p w14:paraId="3A4DBDF3" w14:textId="053101DD" w:rsidR="00EE27C8" w:rsidRPr="00911002" w:rsidRDefault="00EE27C8" w:rsidP="00CF6C99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full refund</w:t>
            </w:r>
          </w:p>
          <w:p w14:paraId="537CE074" w14:textId="77777777" w:rsidR="00EE27C8" w:rsidRPr="00911002" w:rsidRDefault="00EE27C8" w:rsidP="00CF6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9480C" w14:textId="78BB9F6C" w:rsidR="00EE27C8" w:rsidRPr="00911002" w:rsidRDefault="00EE27C8" w:rsidP="00CF6C99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two payment – full refund</w:t>
            </w:r>
          </w:p>
        </w:tc>
      </w:tr>
      <w:tr w:rsidR="00EE27C8" w14:paraId="1024E9DD" w14:textId="77777777" w:rsidTr="00EE27C8">
        <w:tc>
          <w:tcPr>
            <w:tcW w:w="2972" w:type="dxa"/>
          </w:tcPr>
          <w:p w14:paraId="5C258C49" w14:textId="19ABA1DA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New application: </w:t>
            </w:r>
          </w:p>
          <w:p w14:paraId="3E3E141B" w14:textId="111D7A25" w:rsidR="00EE27C8" w:rsidRPr="00EE27C8" w:rsidRDefault="00EE27C8" w:rsidP="009110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14:paraId="234663B0" w14:textId="686CF96A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has ceased to be an HMO since application was made. Inspection not yet undertaken</w:t>
            </w:r>
          </w:p>
        </w:tc>
        <w:tc>
          <w:tcPr>
            <w:tcW w:w="3402" w:type="dxa"/>
          </w:tcPr>
          <w:p w14:paraId="76CAE1CF" w14:textId="49001585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amount paid minus £116</w:t>
            </w:r>
          </w:p>
          <w:p w14:paraId="6E961EB5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C8" w14:paraId="62B706CA" w14:textId="77777777" w:rsidTr="00EE27C8">
        <w:tc>
          <w:tcPr>
            <w:tcW w:w="2972" w:type="dxa"/>
          </w:tcPr>
          <w:p w14:paraId="6CD01419" w14:textId="6083D7AF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New application: </w:t>
            </w:r>
          </w:p>
        </w:tc>
        <w:tc>
          <w:tcPr>
            <w:tcW w:w="7655" w:type="dxa"/>
          </w:tcPr>
          <w:p w14:paraId="783F057D" w14:textId="77777777" w:rsidR="00EE27C8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has ceased to be an HMO since application was made. Inspection completed and intention notice not yet issued</w:t>
            </w:r>
          </w:p>
          <w:p w14:paraId="4E837343" w14:textId="2F5A134E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E0C127" w14:textId="2DA36FFA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nil</w:t>
            </w:r>
          </w:p>
          <w:p w14:paraId="059FE8EA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C8" w14:paraId="27E9B6EA" w14:textId="77777777" w:rsidTr="00EE27C8">
        <w:tc>
          <w:tcPr>
            <w:tcW w:w="2972" w:type="dxa"/>
          </w:tcPr>
          <w:p w14:paraId="650D8A9C" w14:textId="1A1B9650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New application: </w:t>
            </w:r>
          </w:p>
        </w:tc>
        <w:tc>
          <w:tcPr>
            <w:tcW w:w="7655" w:type="dxa"/>
          </w:tcPr>
          <w:p w14:paraId="2F623967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has ceased to be an HMO since application was made. Intention notice issued however decision notice not yet issued</w:t>
            </w:r>
          </w:p>
          <w:p w14:paraId="5641D66B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A1D14C" w14:textId="23E9AA95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nil</w:t>
            </w:r>
          </w:p>
          <w:p w14:paraId="38834ACD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E3306" w14:textId="77777777" w:rsidR="00EE27C8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Stage two payment – full refund </w:t>
            </w:r>
          </w:p>
          <w:p w14:paraId="538B73E3" w14:textId="36EBEF75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C8" w14:paraId="6C278183" w14:textId="77777777" w:rsidTr="00EE27C8">
        <w:tc>
          <w:tcPr>
            <w:tcW w:w="2972" w:type="dxa"/>
          </w:tcPr>
          <w:p w14:paraId="7573AA48" w14:textId="6507EF01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Renewal application: </w:t>
            </w:r>
          </w:p>
        </w:tc>
        <w:tc>
          <w:tcPr>
            <w:tcW w:w="7655" w:type="dxa"/>
          </w:tcPr>
          <w:p w14:paraId="7C68F3F1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has ceased to be an HMO since application was made. Intention notice not yet issued</w:t>
            </w:r>
          </w:p>
          <w:p w14:paraId="3C0101E1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9DF233" w14:textId="36CB9ADE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amount paid minus £50</w:t>
            </w:r>
          </w:p>
          <w:p w14:paraId="7158865D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C8" w14:paraId="4726DB5B" w14:textId="77777777" w:rsidTr="00EE27C8">
        <w:tc>
          <w:tcPr>
            <w:tcW w:w="2972" w:type="dxa"/>
          </w:tcPr>
          <w:p w14:paraId="4F8266EC" w14:textId="3E0E86FF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Renewal application: </w:t>
            </w:r>
          </w:p>
          <w:p w14:paraId="02EA3641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A771F56" w14:textId="4E5DC418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Property has ceased to be an HMO since application was made. Intention notice issued however decision notice not yet issued</w:t>
            </w:r>
          </w:p>
        </w:tc>
        <w:tc>
          <w:tcPr>
            <w:tcW w:w="3402" w:type="dxa"/>
          </w:tcPr>
          <w:p w14:paraId="2C614A3B" w14:textId="0DB1D64E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nil</w:t>
            </w:r>
          </w:p>
          <w:p w14:paraId="2B6983C4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0B0E0" w14:textId="2A112E20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two payment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full</w:t>
            </w:r>
            <w:r w:rsidRPr="009110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refund</w:t>
            </w:r>
          </w:p>
          <w:p w14:paraId="6E301F1F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AA7" w14:paraId="40B6281A" w14:textId="77777777" w:rsidTr="008E7AA7">
        <w:tc>
          <w:tcPr>
            <w:tcW w:w="2972" w:type="dxa"/>
            <w:hideMark/>
          </w:tcPr>
          <w:p w14:paraId="21BE2D30" w14:textId="77777777" w:rsidR="008E7AA7" w:rsidRDefault="008E7A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New or renewal application</w:t>
            </w:r>
          </w:p>
        </w:tc>
        <w:tc>
          <w:tcPr>
            <w:tcW w:w="7655" w:type="dxa"/>
            <w:hideMark/>
          </w:tcPr>
          <w:p w14:paraId="17D84050" w14:textId="77777777" w:rsidR="008E7AA7" w:rsidRDefault="008E7A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Intention notice issued. Stage two not paid. Application withdrawn by Council.</w:t>
            </w:r>
          </w:p>
        </w:tc>
        <w:tc>
          <w:tcPr>
            <w:tcW w:w="3402" w:type="dxa"/>
            <w:hideMark/>
          </w:tcPr>
          <w:p w14:paraId="5E28078A" w14:textId="77777777" w:rsidR="008E7AA7" w:rsidRDefault="008E7A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Stage one payment – nil </w:t>
            </w:r>
          </w:p>
        </w:tc>
      </w:tr>
      <w:tr w:rsidR="00EE27C8" w14:paraId="64A853FF" w14:textId="77777777" w:rsidTr="00EE27C8">
        <w:tc>
          <w:tcPr>
            <w:tcW w:w="2972" w:type="dxa"/>
          </w:tcPr>
          <w:p w14:paraId="28AB5958" w14:textId="48BAC331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 xml:space="preserve">Revocation of licence (new or renewal licence) </w:t>
            </w:r>
          </w:p>
          <w:p w14:paraId="36D14645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88F8A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47102E0" w14:textId="7A001CA5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11002">
              <w:rPr>
                <w:rFonts w:ascii="Arial" w:hAnsi="Arial" w:cs="Arial"/>
                <w:sz w:val="22"/>
                <w:szCs w:val="22"/>
              </w:rPr>
              <w:t>fter decision notice is issued</w:t>
            </w:r>
          </w:p>
        </w:tc>
        <w:tc>
          <w:tcPr>
            <w:tcW w:w="3402" w:type="dxa"/>
          </w:tcPr>
          <w:p w14:paraId="44160AA9" w14:textId="46FA1E81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one payment –  nil</w:t>
            </w:r>
          </w:p>
          <w:p w14:paraId="1CA3D8FA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7B1A8" w14:textId="6D9F00A6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two payment – nil</w:t>
            </w:r>
          </w:p>
          <w:p w14:paraId="6B277B0B" w14:textId="7777777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C8" w14:paraId="3F13E2E4" w14:textId="77777777" w:rsidTr="00EE27C8">
        <w:tc>
          <w:tcPr>
            <w:tcW w:w="2972" w:type="dxa"/>
          </w:tcPr>
          <w:p w14:paraId="78F4136D" w14:textId="47216E86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Overpayment of fees</w:t>
            </w:r>
          </w:p>
          <w:p w14:paraId="5C318DBC" w14:textId="0A900F6F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3ACD1F1" w14:textId="77777777" w:rsidR="00EE27C8" w:rsidRPr="00911002" w:rsidRDefault="00EE27C8" w:rsidP="00EE27C8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Where a landlord has overpaid fees, the difference will be refunded</w:t>
            </w:r>
          </w:p>
          <w:p w14:paraId="3FBC4039" w14:textId="272D47A9" w:rsidR="00EE27C8" w:rsidRPr="00911002" w:rsidRDefault="00EE27C8" w:rsidP="008E7AA7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i.e. landlord pays for a two year licence and is granted a one year licence</w:t>
            </w:r>
          </w:p>
        </w:tc>
        <w:tc>
          <w:tcPr>
            <w:tcW w:w="3402" w:type="dxa"/>
          </w:tcPr>
          <w:p w14:paraId="74175B3B" w14:textId="7E87EDD7" w:rsidR="00EE27C8" w:rsidRPr="00911002" w:rsidRDefault="00EE27C8" w:rsidP="00911002">
            <w:pPr>
              <w:rPr>
                <w:rFonts w:ascii="Arial" w:hAnsi="Arial" w:cs="Arial"/>
                <w:sz w:val="22"/>
                <w:szCs w:val="22"/>
              </w:rPr>
            </w:pPr>
            <w:r w:rsidRPr="00911002">
              <w:rPr>
                <w:rFonts w:ascii="Arial" w:hAnsi="Arial" w:cs="Arial"/>
                <w:sz w:val="22"/>
                <w:szCs w:val="22"/>
              </w:rPr>
              <w:t>Stage two payment – difference refunded</w:t>
            </w:r>
          </w:p>
        </w:tc>
      </w:tr>
    </w:tbl>
    <w:p w14:paraId="1507807D" w14:textId="79B7CBFF" w:rsidR="00CF6C99" w:rsidRPr="00CF6C99" w:rsidRDefault="00CF6C99" w:rsidP="008E7AA7">
      <w:pPr>
        <w:rPr>
          <w:rFonts w:ascii="Arial" w:hAnsi="Arial" w:cs="Arial"/>
        </w:rPr>
      </w:pPr>
    </w:p>
    <w:sectPr w:rsidR="00CF6C99" w:rsidRPr="00CF6C99" w:rsidSect="00877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ABDD" w14:textId="77777777" w:rsidR="00437CB6" w:rsidRDefault="00437CB6" w:rsidP="00437CB6">
      <w:r>
        <w:separator/>
      </w:r>
    </w:p>
  </w:endnote>
  <w:endnote w:type="continuationSeparator" w:id="0">
    <w:p w14:paraId="3210EE74" w14:textId="77777777" w:rsidR="00437CB6" w:rsidRDefault="00437CB6" w:rsidP="004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A083" w14:textId="77777777" w:rsidR="00437CB6" w:rsidRDefault="00437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F5E8" w14:textId="77777777" w:rsidR="00437CB6" w:rsidRDefault="00437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B4ED" w14:textId="77777777" w:rsidR="00437CB6" w:rsidRDefault="0043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5977" w14:textId="77777777" w:rsidR="00437CB6" w:rsidRDefault="00437CB6" w:rsidP="00437CB6">
      <w:r>
        <w:separator/>
      </w:r>
    </w:p>
  </w:footnote>
  <w:footnote w:type="continuationSeparator" w:id="0">
    <w:p w14:paraId="719852E6" w14:textId="77777777" w:rsidR="00437CB6" w:rsidRDefault="00437CB6" w:rsidP="0043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1D39" w14:textId="77777777" w:rsidR="00437CB6" w:rsidRDefault="00437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F930" w14:textId="0EF0BA5A" w:rsidR="00437CB6" w:rsidRPr="00437CB6" w:rsidRDefault="00437CB6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437CB6">
      <w:rPr>
        <w:rFonts w:ascii="Arial" w:hAnsi="Arial" w:cs="Arial"/>
        <w:sz w:val="48"/>
        <w:szCs w:val="48"/>
      </w:rPr>
      <w:t>Appendix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9B9F" w14:textId="77777777" w:rsidR="00437CB6" w:rsidRDefault="00437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50D"/>
    <w:multiLevelType w:val="hybridMultilevel"/>
    <w:tmpl w:val="F958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462A"/>
    <w:multiLevelType w:val="hybridMultilevel"/>
    <w:tmpl w:val="EC481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240E0"/>
    <w:multiLevelType w:val="hybridMultilevel"/>
    <w:tmpl w:val="37B6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5D21"/>
    <w:multiLevelType w:val="hybridMultilevel"/>
    <w:tmpl w:val="1E7AB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130BE"/>
    <w:multiLevelType w:val="hybridMultilevel"/>
    <w:tmpl w:val="E30E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F74"/>
    <w:multiLevelType w:val="hybridMultilevel"/>
    <w:tmpl w:val="2C00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62B8"/>
    <w:multiLevelType w:val="hybridMultilevel"/>
    <w:tmpl w:val="2818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540"/>
    <w:multiLevelType w:val="hybridMultilevel"/>
    <w:tmpl w:val="C438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3C79"/>
    <w:multiLevelType w:val="hybridMultilevel"/>
    <w:tmpl w:val="4CF8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071"/>
    <w:multiLevelType w:val="hybridMultilevel"/>
    <w:tmpl w:val="955EE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6B2DC2"/>
    <w:multiLevelType w:val="hybridMultilevel"/>
    <w:tmpl w:val="69A2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76380"/>
    <w:multiLevelType w:val="hybridMultilevel"/>
    <w:tmpl w:val="07C69CDC"/>
    <w:lvl w:ilvl="0" w:tplc="C8888DD8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33703"/>
    <w:multiLevelType w:val="hybridMultilevel"/>
    <w:tmpl w:val="06DA2912"/>
    <w:lvl w:ilvl="0" w:tplc="ABF4641C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2874"/>
    <w:multiLevelType w:val="hybridMultilevel"/>
    <w:tmpl w:val="3A0A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A"/>
    <w:rsid w:val="0000331D"/>
    <w:rsid w:val="00004F8C"/>
    <w:rsid w:val="000617FE"/>
    <w:rsid w:val="000633F6"/>
    <w:rsid w:val="000718D5"/>
    <w:rsid w:val="000750C0"/>
    <w:rsid w:val="000950C9"/>
    <w:rsid w:val="000E4FA7"/>
    <w:rsid w:val="000E7412"/>
    <w:rsid w:val="00113E68"/>
    <w:rsid w:val="001141E6"/>
    <w:rsid w:val="00120B57"/>
    <w:rsid w:val="00135723"/>
    <w:rsid w:val="00186245"/>
    <w:rsid w:val="00195A3F"/>
    <w:rsid w:val="001A7569"/>
    <w:rsid w:val="001A7759"/>
    <w:rsid w:val="001B29E5"/>
    <w:rsid w:val="001B6087"/>
    <w:rsid w:val="001B776C"/>
    <w:rsid w:val="001C1EB8"/>
    <w:rsid w:val="001D146A"/>
    <w:rsid w:val="001E1224"/>
    <w:rsid w:val="001E7DA1"/>
    <w:rsid w:val="00226E38"/>
    <w:rsid w:val="0024696D"/>
    <w:rsid w:val="00287B66"/>
    <w:rsid w:val="002902DC"/>
    <w:rsid w:val="002C0C99"/>
    <w:rsid w:val="002C632E"/>
    <w:rsid w:val="002D007D"/>
    <w:rsid w:val="002E5C49"/>
    <w:rsid w:val="002F1878"/>
    <w:rsid w:val="002F2705"/>
    <w:rsid w:val="00303B00"/>
    <w:rsid w:val="0031414C"/>
    <w:rsid w:val="003214F6"/>
    <w:rsid w:val="00322FD3"/>
    <w:rsid w:val="00331C72"/>
    <w:rsid w:val="0039436D"/>
    <w:rsid w:val="003B6B43"/>
    <w:rsid w:val="003D5505"/>
    <w:rsid w:val="003F1AE5"/>
    <w:rsid w:val="0043146E"/>
    <w:rsid w:val="00437CB6"/>
    <w:rsid w:val="00451BC7"/>
    <w:rsid w:val="00475368"/>
    <w:rsid w:val="004803DF"/>
    <w:rsid w:val="00482AF7"/>
    <w:rsid w:val="004A5943"/>
    <w:rsid w:val="004A66F2"/>
    <w:rsid w:val="004B0EAF"/>
    <w:rsid w:val="00507EC6"/>
    <w:rsid w:val="005158B0"/>
    <w:rsid w:val="00526C62"/>
    <w:rsid w:val="00540ABA"/>
    <w:rsid w:val="00583B5A"/>
    <w:rsid w:val="00585FBC"/>
    <w:rsid w:val="00595B43"/>
    <w:rsid w:val="005A3625"/>
    <w:rsid w:val="005B08F6"/>
    <w:rsid w:val="005C334F"/>
    <w:rsid w:val="005C502E"/>
    <w:rsid w:val="005E2743"/>
    <w:rsid w:val="005E6B96"/>
    <w:rsid w:val="00610871"/>
    <w:rsid w:val="0067266F"/>
    <w:rsid w:val="00680D56"/>
    <w:rsid w:val="006918B0"/>
    <w:rsid w:val="006A4641"/>
    <w:rsid w:val="006B70AB"/>
    <w:rsid w:val="006C1B68"/>
    <w:rsid w:val="006C23F4"/>
    <w:rsid w:val="006D16B4"/>
    <w:rsid w:val="006E5531"/>
    <w:rsid w:val="00701996"/>
    <w:rsid w:val="00714AB5"/>
    <w:rsid w:val="0075133A"/>
    <w:rsid w:val="0079091E"/>
    <w:rsid w:val="0080003F"/>
    <w:rsid w:val="00833073"/>
    <w:rsid w:val="00866288"/>
    <w:rsid w:val="0087706A"/>
    <w:rsid w:val="00877B81"/>
    <w:rsid w:val="00885BB6"/>
    <w:rsid w:val="008E117F"/>
    <w:rsid w:val="008E322F"/>
    <w:rsid w:val="008E7AA7"/>
    <w:rsid w:val="008F4587"/>
    <w:rsid w:val="00910974"/>
    <w:rsid w:val="00911002"/>
    <w:rsid w:val="00914EB3"/>
    <w:rsid w:val="00921573"/>
    <w:rsid w:val="00925B47"/>
    <w:rsid w:val="00936673"/>
    <w:rsid w:val="00937674"/>
    <w:rsid w:val="00952001"/>
    <w:rsid w:val="00963A54"/>
    <w:rsid w:val="009D1384"/>
    <w:rsid w:val="009D1AC0"/>
    <w:rsid w:val="009E33E0"/>
    <w:rsid w:val="00A10C60"/>
    <w:rsid w:val="00A2512D"/>
    <w:rsid w:val="00A3220A"/>
    <w:rsid w:val="00A417D2"/>
    <w:rsid w:val="00A51D05"/>
    <w:rsid w:val="00A61107"/>
    <w:rsid w:val="00A94D17"/>
    <w:rsid w:val="00AB0946"/>
    <w:rsid w:val="00AC2781"/>
    <w:rsid w:val="00AC62ED"/>
    <w:rsid w:val="00AD0EC6"/>
    <w:rsid w:val="00AE20CE"/>
    <w:rsid w:val="00AF135E"/>
    <w:rsid w:val="00B05DF1"/>
    <w:rsid w:val="00B11506"/>
    <w:rsid w:val="00B4028E"/>
    <w:rsid w:val="00B551F5"/>
    <w:rsid w:val="00B55596"/>
    <w:rsid w:val="00B63C2F"/>
    <w:rsid w:val="00B93B0F"/>
    <w:rsid w:val="00B95831"/>
    <w:rsid w:val="00B97FE3"/>
    <w:rsid w:val="00BB6D0D"/>
    <w:rsid w:val="00BC4BAC"/>
    <w:rsid w:val="00BD279A"/>
    <w:rsid w:val="00BE01FE"/>
    <w:rsid w:val="00BE3FB3"/>
    <w:rsid w:val="00C01F1E"/>
    <w:rsid w:val="00C14742"/>
    <w:rsid w:val="00C4444E"/>
    <w:rsid w:val="00C5699B"/>
    <w:rsid w:val="00C665D5"/>
    <w:rsid w:val="00C72B1A"/>
    <w:rsid w:val="00C7339C"/>
    <w:rsid w:val="00C85428"/>
    <w:rsid w:val="00C85C01"/>
    <w:rsid w:val="00CB582F"/>
    <w:rsid w:val="00CD74A2"/>
    <w:rsid w:val="00CF50F2"/>
    <w:rsid w:val="00CF6C99"/>
    <w:rsid w:val="00CF7686"/>
    <w:rsid w:val="00D0302B"/>
    <w:rsid w:val="00D20007"/>
    <w:rsid w:val="00D715B6"/>
    <w:rsid w:val="00D73B9F"/>
    <w:rsid w:val="00D73D55"/>
    <w:rsid w:val="00D73EDB"/>
    <w:rsid w:val="00D74267"/>
    <w:rsid w:val="00D833C2"/>
    <w:rsid w:val="00D9424D"/>
    <w:rsid w:val="00DA5840"/>
    <w:rsid w:val="00DA5FCD"/>
    <w:rsid w:val="00DC57FA"/>
    <w:rsid w:val="00E13DAA"/>
    <w:rsid w:val="00E56054"/>
    <w:rsid w:val="00E57173"/>
    <w:rsid w:val="00ED5622"/>
    <w:rsid w:val="00EE27C8"/>
    <w:rsid w:val="00EF5AF1"/>
    <w:rsid w:val="00EF6E1E"/>
    <w:rsid w:val="00F01817"/>
    <w:rsid w:val="00F07A25"/>
    <w:rsid w:val="00F51ACC"/>
    <w:rsid w:val="00F67D64"/>
    <w:rsid w:val="00F752B3"/>
    <w:rsid w:val="00F95469"/>
    <w:rsid w:val="00FC777C"/>
    <w:rsid w:val="00FD5670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BF5"/>
  <w15:docId w15:val="{88583F3C-6035-4ED1-AF49-C00223F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1D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1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4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6A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4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D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7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B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Environmental-Development\EH\hmo\Additional%20Licensing%202021\Finance%20and%20fees\Licence%20processing%20time%20costing%20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Environmental-Development\EH\hmo\Additional%20Licensing%202021\Finance%20and%20fees\Licence%20processing%20time%20costing%20summa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New </a:t>
            </a:r>
            <a:r>
              <a:rPr lang="en-GB" b="1" baseline="0"/>
              <a:t>HMO licence fees paid over five years dependent on landlord behaviour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'Landlord behavour - fees'!$A$3:$A$7</c:f>
              <c:strCache>
                <c:ptCount val="5"/>
                <c:pt idx="0">
                  <c:v>Non-compliant landlord 
(Per day: £2.03)</c:v>
                </c:pt>
                <c:pt idx="1">
                  <c:v>Improved behaviour 
(Per day: £1.47)</c:v>
                </c:pt>
                <c:pt idx="2">
                  <c:v>Compliant landlord - non accredited 
(Per day: £0.72)</c:v>
                </c:pt>
                <c:pt idx="3">
                  <c:v>Compliant accredited landlord (work needed)
(Per day: £0.54)</c:v>
                </c:pt>
                <c:pt idx="4">
                  <c:v>Compliant accredited landlord + Prelicence visit
(Per day: £0.33)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'Landlord behavour - fees'!$A$3:$A$7</c:f>
              <c:strCache>
                <c:ptCount val="5"/>
                <c:pt idx="0">
                  <c:v>Non-compliant landlord 
(Per day: £2.03)</c:v>
                </c:pt>
                <c:pt idx="1">
                  <c:v>Improved behaviour 
(Per day: £1.47)</c:v>
                </c:pt>
                <c:pt idx="2">
                  <c:v>Compliant landlord - non accredited 
(Per day: £0.72)</c:v>
                </c:pt>
                <c:pt idx="3">
                  <c:v>Compliant accredited landlord (work needed)
(Per day: £0.54)</c:v>
                </c:pt>
                <c:pt idx="4">
                  <c:v>Compliant accredited landlord + Prelicence visit
(Per day: £0.33)</c:v>
                </c:pt>
              </c:strCache>
            </c:strRef>
          </c:cat>
          <c:val>
            <c:numRef>
              <c:f>'Landlord behavour - fees'!$H$3:$H$7</c:f>
              <c:numCache>
                <c:formatCode>"£"#,##0</c:formatCode>
                <c:ptCount val="5"/>
                <c:pt idx="0">
                  <c:v>3702.6912141494004</c:v>
                </c:pt>
                <c:pt idx="1">
                  <c:v>2678.8801020400001</c:v>
                </c:pt>
                <c:pt idx="2">
                  <c:v>1309.8218509999999</c:v>
                </c:pt>
                <c:pt idx="3">
                  <c:v>897.54200000000003</c:v>
                </c:pt>
                <c:pt idx="4">
                  <c:v>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748320"/>
        <c:axId val="517749888"/>
      </c:barChart>
      <c:catAx>
        <c:axId val="51774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749888"/>
        <c:crosses val="autoZero"/>
        <c:auto val="1"/>
        <c:lblAlgn val="ctr"/>
        <c:lblOffset val="100"/>
        <c:noMultiLvlLbl val="0"/>
      </c:catAx>
      <c:valAx>
        <c:axId val="5177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74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Renewal</a:t>
            </a:r>
            <a:r>
              <a:rPr lang="en-GB" b="1" baseline="0"/>
              <a:t> HMO licence fees paid over five years</a:t>
            </a:r>
            <a:endParaRPr lang="en-GB" b="1"/>
          </a:p>
        </c:rich>
      </c:tx>
      <c:layout>
        <c:manualLayout>
          <c:xMode val="edge"/>
          <c:yMode val="edge"/>
          <c:x val="0.26587671232876708"/>
          <c:y val="8.406305192233832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'Landlord behavour - fees'!$A$10:$A$13</c:f>
              <c:strCache>
                <c:ptCount val="4"/>
                <c:pt idx="0">
                  <c:v>"Rogue" landlord 
(Per day: £1.47)</c:v>
                </c:pt>
                <c:pt idx="1">
                  <c:v>Improved behaviour 
(Per day: £0.76)</c:v>
                </c:pt>
                <c:pt idx="2">
                  <c:v>Compliant landlord - non accredited 
(Per day: £0.51)</c:v>
                </c:pt>
                <c:pt idx="3">
                  <c:v>Compliant accredited landlord 
(Per day: £0.23)</c:v>
                </c:pt>
              </c:strCache>
            </c:strRef>
          </c:cat>
          <c:val>
            <c:numRef>
              <c:f>'Landlord behavour - fees'!$H$10:$H$13</c:f>
              <c:numCache>
                <c:formatCode>"£"#,##0</c:formatCode>
                <c:ptCount val="4"/>
                <c:pt idx="0">
                  <c:v>2679.5208433070002</c:v>
                </c:pt>
                <c:pt idx="1">
                  <c:v>1379.9802680399998</c:v>
                </c:pt>
                <c:pt idx="2">
                  <c:v>767.47138655059996</c:v>
                </c:pt>
                <c:pt idx="3">
                  <c:v>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750280"/>
        <c:axId val="517746752"/>
      </c:barChart>
      <c:catAx>
        <c:axId val="51775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746752"/>
        <c:crosses val="autoZero"/>
        <c:auto val="1"/>
        <c:lblAlgn val="ctr"/>
        <c:lblOffset val="100"/>
        <c:noMultiLvlLbl val="0"/>
      </c:catAx>
      <c:valAx>
        <c:axId val="51774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750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126B-97DF-43C7-8EAC-CA49AB8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68B635C0</Template>
  <TotalTime>156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CONEY Katherine</dc:creator>
  <cp:keywords/>
  <dc:description/>
  <cp:lastModifiedBy>MITCHELL John</cp:lastModifiedBy>
  <cp:revision>16</cp:revision>
  <dcterms:created xsi:type="dcterms:W3CDTF">2021-01-21T09:06:00Z</dcterms:created>
  <dcterms:modified xsi:type="dcterms:W3CDTF">2021-02-23T17:48:00Z</dcterms:modified>
</cp:coreProperties>
</file>